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5F" w:rsidRPr="0062655F" w:rsidRDefault="0062655F" w:rsidP="0062655F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265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Общественные обсуждения проекта Программы развития опорного населенного пункта («дорожной карты») в целях достижения значений компонентов показателя «Улучшение качества среды для жизни в опорных населенных пунктах»</w:t>
      </w:r>
    </w:p>
    <w:p w:rsidR="0062655F" w:rsidRPr="006C6326" w:rsidRDefault="0062655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655F" w:rsidRPr="006C6326" w:rsidRDefault="0062655F" w:rsidP="006265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326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 муниципального округа информирует граждан о том, что в целях реализации положений  Указа Президента РФ от 07.005.2024 «О национальных целях развития Российской Федерации на период до 2030 года и на перспективу до 2036 года», нового национального проекта «Инфраструктура для жизни», Указа Губернатора Новгородской области  от 09.01.2025 №1 «О мерах по развитию опорных населенных пунктов» Администрацией муниципального района был разработан проект</w:t>
      </w:r>
      <w:proofErr w:type="gramEnd"/>
      <w:r w:rsidRPr="006C63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C6326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 развития опорного населенного пункта («дорожная карта») в целях достижения значений компонентов показателя «Улучшение качества среды для жизни в опорных населенных пунктах» (далее Программа «Улучшение качества среды для жизни в опорных населенных пунктах»), который предусматривает повышение значений компонентов показателей к 2030 году на 30%. Проект Программы прошел согласование с органами исполнительной власти региона.</w:t>
      </w:r>
      <w:proofErr w:type="gramEnd"/>
    </w:p>
    <w:p w:rsidR="0062655F" w:rsidRPr="006C6326" w:rsidRDefault="0062655F" w:rsidP="0062655F">
      <w:pPr>
        <w:pStyle w:val="a3"/>
        <w:shd w:val="clear" w:color="auto" w:fill="FFFFFF"/>
        <w:spacing w:before="90" w:beforeAutospacing="0" w:after="210" w:afterAutospacing="0"/>
        <w:jc w:val="both"/>
      </w:pPr>
      <w:r w:rsidRPr="006C6326">
        <w:t>Общественные обсуждения  проекта Программы «Улучшение качества среды для жизни в опорных населенных пунктах» проводятся в период с 03 по 13 февраля 2025 года на территории муниципального образования. Предложения могут быть поданы в электронном или письменном виде по прилагаемой форме.</w:t>
      </w:r>
    </w:p>
    <w:p w:rsidR="0062655F" w:rsidRPr="006C6326" w:rsidRDefault="0062655F" w:rsidP="0062655F">
      <w:pPr>
        <w:pStyle w:val="a3"/>
        <w:shd w:val="clear" w:color="auto" w:fill="FFFFFF"/>
        <w:spacing w:before="90" w:beforeAutospacing="0" w:after="210" w:afterAutospacing="0"/>
      </w:pPr>
      <w:r w:rsidRPr="006C6326">
        <w:t>Адрес для направления предложений: 174150, Новгородская область, р.п. Шимск, ул</w:t>
      </w:r>
      <w:proofErr w:type="gramStart"/>
      <w:r w:rsidRPr="006C6326">
        <w:t>.Н</w:t>
      </w:r>
      <w:proofErr w:type="gramEnd"/>
      <w:r w:rsidRPr="006C6326">
        <w:t xml:space="preserve">овгородская, д.25, </w:t>
      </w:r>
      <w:proofErr w:type="spellStart"/>
      <w:r w:rsidRPr="006C6326">
        <w:t>каб</w:t>
      </w:r>
      <w:proofErr w:type="spellEnd"/>
      <w:r w:rsidRPr="006C6326">
        <w:t>. 1</w:t>
      </w:r>
      <w:r w:rsidR="006C6326">
        <w:t xml:space="preserve"> (2-й этаж)</w:t>
      </w:r>
    </w:p>
    <w:p w:rsidR="0062655F" w:rsidRPr="006C6326" w:rsidRDefault="0062655F" w:rsidP="0062655F">
      <w:pPr>
        <w:pStyle w:val="a3"/>
        <w:shd w:val="clear" w:color="auto" w:fill="FFFFFF"/>
        <w:spacing w:before="90" w:beforeAutospacing="0" w:after="210" w:afterAutospacing="0"/>
      </w:pPr>
      <w:r w:rsidRPr="006C6326">
        <w:t>В рабочие дни с понедельника по пятницу с 10.00 ч. до 16.00 ч., перерыв с 13 до 14 ч.</w:t>
      </w:r>
    </w:p>
    <w:p w:rsidR="0062655F" w:rsidRPr="006C6326" w:rsidRDefault="0062655F" w:rsidP="0062655F">
      <w:pPr>
        <w:pStyle w:val="a3"/>
        <w:shd w:val="clear" w:color="auto" w:fill="FFFFFF"/>
        <w:spacing w:before="90" w:beforeAutospacing="0" w:after="210" w:afterAutospacing="0"/>
      </w:pPr>
      <w:r w:rsidRPr="006C6326">
        <w:rPr>
          <w:u w:val="single"/>
        </w:rPr>
        <w:t>Адрес электронной почты</w:t>
      </w:r>
      <w:r w:rsidRPr="006C6326">
        <w:t xml:space="preserve">: </w:t>
      </w:r>
      <w:r w:rsidRPr="006C6326">
        <w:rPr>
          <w:shd w:val="clear" w:color="auto" w:fill="FFFFFF"/>
        </w:rPr>
        <w:t>komitetgkh2017@mail.ru</w:t>
      </w:r>
    </w:p>
    <w:p w:rsidR="0062655F" w:rsidRPr="006C6326" w:rsidRDefault="0062655F" w:rsidP="0062655F">
      <w:pPr>
        <w:pStyle w:val="a3"/>
        <w:shd w:val="clear" w:color="auto" w:fill="FFFFFF"/>
        <w:spacing w:before="90" w:beforeAutospacing="0" w:after="210" w:afterAutospacing="0"/>
      </w:pPr>
      <w:r w:rsidRPr="006C6326">
        <w:rPr>
          <w:u w:val="single"/>
        </w:rPr>
        <w:t>Контактный телефон</w:t>
      </w:r>
      <w:r w:rsidRPr="006C6326">
        <w:t>: 8 (81656) 54-169</w:t>
      </w:r>
    </w:p>
    <w:p w:rsidR="0062655F" w:rsidRPr="006C6326" w:rsidRDefault="0062655F" w:rsidP="0062655F">
      <w:pPr>
        <w:pStyle w:val="a3"/>
        <w:shd w:val="clear" w:color="auto" w:fill="FFFFFF"/>
        <w:spacing w:before="90" w:beforeAutospacing="0" w:after="210" w:afterAutospacing="0"/>
      </w:pPr>
      <w:r w:rsidRPr="006C6326">
        <w:t>ПРИЛОЖЕНИЕ: </w:t>
      </w:r>
      <w:hyperlink r:id="rId4" w:tgtFrame="_blank" w:history="1">
        <w:r w:rsidRPr="006C6326">
          <w:rPr>
            <w:rStyle w:val="a5"/>
          </w:rPr>
          <w:t> </w:t>
        </w:r>
        <w:r w:rsidRPr="006C6326">
          <w:rPr>
            <w:rStyle w:val="a4"/>
            <w:color w:val="auto"/>
            <w:u w:val="none"/>
          </w:rPr>
          <w:t> </w:t>
        </w:r>
      </w:hyperlink>
      <w:r w:rsidR="00185A83">
        <w:t>Проект программы развития опорного населенного пункта («дорожная карта»).</w:t>
      </w:r>
    </w:p>
    <w:p w:rsidR="000D3B94" w:rsidRDefault="00AD5FD7" w:rsidP="0062655F">
      <w:pPr>
        <w:rPr>
          <w:rFonts w:ascii="Times New Roman" w:hAnsi="Times New Roman" w:cs="Times New Roman"/>
          <w:sz w:val="24"/>
          <w:szCs w:val="24"/>
        </w:rPr>
      </w:pPr>
    </w:p>
    <w:p w:rsidR="00185A83" w:rsidRDefault="00185A83" w:rsidP="0062655F">
      <w:pPr>
        <w:rPr>
          <w:rFonts w:ascii="Times New Roman" w:hAnsi="Times New Roman" w:cs="Times New Roman"/>
          <w:sz w:val="24"/>
          <w:szCs w:val="24"/>
        </w:rPr>
      </w:pPr>
    </w:p>
    <w:p w:rsidR="00185A83" w:rsidRDefault="00185A83" w:rsidP="0062655F">
      <w:pPr>
        <w:rPr>
          <w:rFonts w:ascii="Times New Roman" w:hAnsi="Times New Roman" w:cs="Times New Roman"/>
          <w:sz w:val="24"/>
          <w:szCs w:val="24"/>
        </w:rPr>
      </w:pPr>
    </w:p>
    <w:p w:rsidR="00185A83" w:rsidRDefault="00185A83" w:rsidP="0062655F">
      <w:pPr>
        <w:rPr>
          <w:rFonts w:ascii="Times New Roman" w:hAnsi="Times New Roman" w:cs="Times New Roman"/>
          <w:sz w:val="24"/>
          <w:szCs w:val="24"/>
        </w:rPr>
      </w:pPr>
    </w:p>
    <w:p w:rsidR="00185A83" w:rsidRDefault="00185A83" w:rsidP="0062655F">
      <w:pPr>
        <w:rPr>
          <w:rFonts w:ascii="Times New Roman" w:hAnsi="Times New Roman" w:cs="Times New Roman"/>
          <w:sz w:val="24"/>
          <w:szCs w:val="24"/>
        </w:rPr>
      </w:pPr>
    </w:p>
    <w:p w:rsidR="00185A83" w:rsidRDefault="00185A83" w:rsidP="0062655F">
      <w:pPr>
        <w:rPr>
          <w:rFonts w:ascii="Times New Roman" w:hAnsi="Times New Roman" w:cs="Times New Roman"/>
          <w:sz w:val="24"/>
          <w:szCs w:val="24"/>
        </w:rPr>
      </w:pPr>
    </w:p>
    <w:p w:rsidR="00185A83" w:rsidRDefault="00185A83" w:rsidP="0062655F">
      <w:pPr>
        <w:rPr>
          <w:rFonts w:ascii="Times New Roman" w:hAnsi="Times New Roman" w:cs="Times New Roman"/>
          <w:sz w:val="24"/>
          <w:szCs w:val="24"/>
        </w:rPr>
      </w:pPr>
    </w:p>
    <w:p w:rsidR="00185A83" w:rsidRDefault="00185A83" w:rsidP="0062655F">
      <w:pPr>
        <w:rPr>
          <w:rFonts w:ascii="Times New Roman" w:hAnsi="Times New Roman" w:cs="Times New Roman"/>
          <w:sz w:val="24"/>
          <w:szCs w:val="24"/>
        </w:rPr>
      </w:pPr>
    </w:p>
    <w:p w:rsidR="00185A83" w:rsidRDefault="00185A83" w:rsidP="0062655F">
      <w:pPr>
        <w:rPr>
          <w:rFonts w:ascii="Times New Roman" w:hAnsi="Times New Roman" w:cs="Times New Roman"/>
          <w:sz w:val="24"/>
          <w:szCs w:val="24"/>
        </w:rPr>
      </w:pPr>
    </w:p>
    <w:p w:rsidR="00185A83" w:rsidRDefault="00185A83" w:rsidP="0062655F">
      <w:pPr>
        <w:rPr>
          <w:rFonts w:ascii="Times New Roman" w:hAnsi="Times New Roman" w:cs="Times New Roman"/>
          <w:sz w:val="24"/>
          <w:szCs w:val="24"/>
        </w:rPr>
        <w:sectPr w:rsidR="00185A83" w:rsidSect="00A507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610" w:type="dxa"/>
        <w:tblLayout w:type="fixed"/>
        <w:tblLook w:val="04A0"/>
      </w:tblPr>
      <w:tblGrid>
        <w:gridCol w:w="17610"/>
      </w:tblGrid>
      <w:tr w:rsidR="00185A83" w:rsidTr="00185A83">
        <w:tc>
          <w:tcPr>
            <w:tcW w:w="15571" w:type="dxa"/>
          </w:tcPr>
          <w:p w:rsidR="00185A83" w:rsidRDefault="00AD5FD7" w:rsidP="00AD5FD7">
            <w:pPr>
              <w:tabs>
                <w:tab w:val="left" w:pos="13320"/>
              </w:tabs>
              <w:spacing w:before="120" w:line="240" w:lineRule="exact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</w:rPr>
              <w:lastRenderedPageBreak/>
              <w:tab/>
              <w:t>ПРОЕКТ</w:t>
            </w:r>
          </w:p>
          <w:tbl>
            <w:tblPr>
              <w:tblW w:w="15135" w:type="dxa"/>
              <w:tblLayout w:type="fixed"/>
              <w:tblLook w:val="04A0"/>
            </w:tblPr>
            <w:tblGrid>
              <w:gridCol w:w="11875"/>
              <w:gridCol w:w="3260"/>
            </w:tblGrid>
            <w:tr w:rsidR="00185A83">
              <w:tc>
                <w:tcPr>
                  <w:tcW w:w="11874" w:type="dxa"/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>
                    <w:br w:type="page"/>
                  </w:r>
                  <w:r>
                    <w:tab/>
                  </w:r>
                </w:p>
              </w:tc>
              <w:tc>
                <w:tcPr>
                  <w:tcW w:w="3260" w:type="dxa"/>
                  <w:hideMark/>
                </w:tcPr>
                <w:p w:rsidR="00185A83" w:rsidRDefault="00185A83">
                  <w:pPr>
                    <w:spacing w:before="12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Утверждена</w:t>
                  </w:r>
                </w:p>
                <w:p w:rsidR="00185A83" w:rsidRDefault="00185A83">
                  <w:pPr>
                    <w:tabs>
                      <w:tab w:val="left" w:pos="4105"/>
                    </w:tabs>
                    <w:spacing w:line="260" w:lineRule="exact"/>
                    <w:ind w:left="-205" w:hanging="63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рраспоряжениемАдминистрации</w:t>
                  </w:r>
                  <w:proofErr w:type="spellEnd"/>
                </w:p>
                <w:p w:rsidR="00185A83" w:rsidRDefault="00185A83">
                  <w:pPr>
                    <w:spacing w:line="2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</w:t>
                  </w:r>
                </w:p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>
                    <w:rPr>
                      <w:sz w:val="28"/>
                      <w:szCs w:val="28"/>
                    </w:rPr>
                    <w:t xml:space="preserve">от ____ №    </w:t>
                  </w:r>
                </w:p>
              </w:tc>
            </w:tr>
            <w:tr w:rsidR="00185A83">
              <w:trPr>
                <w:trHeight w:val="63"/>
              </w:trPr>
              <w:tc>
                <w:tcPr>
                  <w:tcW w:w="11874" w:type="dxa"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185A83" w:rsidRDefault="00185A83">
                  <w:pPr>
                    <w:rPr>
                      <w:rFonts w:eastAsiaTheme="minorEastAsia"/>
                    </w:rPr>
                  </w:pPr>
                </w:p>
              </w:tc>
            </w:tr>
          </w:tbl>
          <w:p w:rsidR="00185A83" w:rsidRDefault="00185A83" w:rsidP="00185A83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85A83" w:rsidRDefault="00185A83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185A83" w:rsidRDefault="00185A83">
            <w:pPr>
              <w:widowControl w:val="0"/>
              <w:spacing w:after="120" w:line="240" w:lineRule="exact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ПРОГРАММА </w:t>
            </w:r>
          </w:p>
          <w:p w:rsidR="00185A83" w:rsidRDefault="00185A83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 опорного населенного пункта («дорожная карта») в целях достижения значений компонентов показателя «Улучшение качества среды для жизни в опорных населенных пунктах»</w:t>
            </w:r>
          </w:p>
          <w:p w:rsidR="00185A83" w:rsidRDefault="00185A83">
            <w:pPr>
              <w:widowControl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р.п. Шимск Новгородской области</w:t>
            </w:r>
          </w:p>
          <w:p w:rsidR="00185A83" w:rsidRDefault="00185A83">
            <w:pPr>
              <w:widowControl w:val="0"/>
              <w:spacing w:line="240" w:lineRule="exact"/>
              <w:jc w:val="center"/>
              <w:rPr>
                <w:sz w:val="26"/>
                <w:szCs w:val="20"/>
              </w:rPr>
            </w:pPr>
            <w:r>
              <w:t>(наименование опорного населенного пункта)</w:t>
            </w:r>
          </w:p>
          <w:p w:rsidR="00185A83" w:rsidRDefault="00185A83">
            <w:pPr>
              <w:widowControl w:val="0"/>
              <w:jc w:val="center"/>
              <w:rPr>
                <w:sz w:val="20"/>
              </w:rPr>
            </w:pPr>
          </w:p>
          <w:tbl>
            <w:tblPr>
              <w:tblStyle w:val="11"/>
              <w:tblW w:w="15345" w:type="dxa"/>
              <w:tblLayout w:type="fixed"/>
              <w:tblLook w:val="04A0"/>
            </w:tblPr>
            <w:tblGrid>
              <w:gridCol w:w="562"/>
              <w:gridCol w:w="3686"/>
              <w:gridCol w:w="850"/>
              <w:gridCol w:w="993"/>
              <w:gridCol w:w="1417"/>
              <w:gridCol w:w="992"/>
              <w:gridCol w:w="993"/>
              <w:gridCol w:w="850"/>
              <w:gridCol w:w="851"/>
              <w:gridCol w:w="850"/>
              <w:gridCol w:w="851"/>
              <w:gridCol w:w="850"/>
              <w:gridCol w:w="1600"/>
            </w:tblGrid>
            <w:tr w:rsidR="00185A83">
              <w:trPr>
                <w:trHeight w:val="53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szCs w:val="20"/>
                    </w:rPr>
                    <w:t>/</w:t>
                  </w:r>
                  <w:proofErr w:type="spellStart"/>
                  <w:r>
                    <w:rPr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6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 xml:space="preserve">Наименование компонента показателя </w:t>
                  </w:r>
                </w:p>
              </w:tc>
              <w:tc>
                <w:tcPr>
                  <w:tcW w:w="184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 xml:space="preserve">Базовое значение 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proofErr w:type="gramStart"/>
                  <w:r>
                    <w:rPr>
                      <w:szCs w:val="20"/>
                    </w:rPr>
                    <w:t>Применим</w:t>
                  </w:r>
                  <w:proofErr w:type="gramEnd"/>
                  <w:r>
                    <w:rPr>
                      <w:szCs w:val="20"/>
                    </w:rPr>
                    <w:t xml:space="preserve"> / не применим</w:t>
                  </w:r>
                </w:p>
              </w:tc>
              <w:tc>
                <w:tcPr>
                  <w:tcW w:w="53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Плановый период, %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pacing w:val="-8"/>
                      <w:szCs w:val="20"/>
                    </w:rPr>
                    <w:t>Итого,</w:t>
                  </w:r>
                  <w:r>
                    <w:rPr>
                      <w:szCs w:val="20"/>
                    </w:rPr>
                    <w:t xml:space="preserve"> темп </w:t>
                  </w:r>
                  <w:proofErr w:type="spellStart"/>
                  <w:proofErr w:type="gramStart"/>
                  <w:r>
                    <w:rPr>
                      <w:szCs w:val="20"/>
                    </w:rPr>
                    <w:t>при-роста</w:t>
                  </w:r>
                  <w:proofErr w:type="spellEnd"/>
                  <w:proofErr w:type="gramEnd"/>
                  <w:r>
                    <w:rPr>
                      <w:szCs w:val="20"/>
                    </w:rPr>
                    <w:t xml:space="preserve"> (%)</w:t>
                  </w:r>
                </w:p>
              </w:tc>
              <w:tc>
                <w:tcPr>
                  <w:tcW w:w="1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Cs w:val="20"/>
                    </w:rPr>
                    <w:t>Наимено-вание</w:t>
                  </w:r>
                  <w:proofErr w:type="spellEnd"/>
                  <w:proofErr w:type="gramEnd"/>
                  <w:r>
                    <w:rPr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Cs w:val="20"/>
                    </w:rPr>
                    <w:t>мероприя-тий</w:t>
                  </w:r>
                  <w:proofErr w:type="spellEnd"/>
                  <w:r>
                    <w:rPr>
                      <w:szCs w:val="20"/>
                    </w:rPr>
                    <w:t xml:space="preserve"> на </w:t>
                  </w:r>
                  <w:proofErr w:type="spellStart"/>
                  <w:r>
                    <w:rPr>
                      <w:szCs w:val="20"/>
                    </w:rPr>
                    <w:t>соответ-ствующий</w:t>
                  </w:r>
                  <w:proofErr w:type="spellEnd"/>
                  <w:r>
                    <w:rPr>
                      <w:szCs w:val="20"/>
                    </w:rPr>
                    <w:t xml:space="preserve"> год</w:t>
                  </w:r>
                </w:p>
              </w:tc>
            </w:tr>
            <w:tr w:rsidR="00185A83">
              <w:trPr>
                <w:trHeight w:val="765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rPr>
                      <w:rFonts w:ascii="Times New Roman" w:eastAsia="Times New Roman" w:hAnsi="Times New Roman"/>
                      <w:sz w:val="26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rPr>
                      <w:rFonts w:ascii="Times New Roman" w:eastAsia="Times New Roman" w:hAnsi="Times New Roman"/>
                      <w:sz w:val="26"/>
                    </w:rPr>
                  </w:pPr>
                </w:p>
              </w:tc>
              <w:tc>
                <w:tcPr>
                  <w:tcW w:w="283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rPr>
                      <w:rFonts w:ascii="Times New Roman" w:eastAsia="Times New Roman" w:hAnsi="Times New Roman"/>
                      <w:sz w:val="26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rPr>
                      <w:rFonts w:ascii="Times New Roman" w:eastAsia="Times New Roman" w:hAnsi="Times New Roman"/>
                      <w:sz w:val="26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2025 год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2026 год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2027 год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2028 год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2029 год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2030 год</w:t>
                  </w: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rPr>
                      <w:rFonts w:ascii="Times New Roman" w:eastAsia="Times New Roman" w:hAnsi="Times New Roman"/>
                      <w:sz w:val="2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rPr>
                      <w:rFonts w:ascii="Times New Roman" w:eastAsia="Times New Roman" w:hAnsi="Times New Roman"/>
                      <w:sz w:val="26"/>
                    </w:rPr>
                  </w:pPr>
                </w:p>
              </w:tc>
            </w:tr>
            <w:tr w:rsidR="00185A83">
              <w:trPr>
                <w:trHeight w:val="690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rPr>
                      <w:rFonts w:ascii="Times New Roman" w:eastAsia="Times New Roman" w:hAnsi="Times New Roman"/>
                      <w:sz w:val="26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rPr>
                      <w:rFonts w:ascii="Times New Roman" w:eastAsia="Times New Roman" w:hAnsi="Times New Roman"/>
                      <w:sz w:val="2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widowControl w:val="0"/>
                    <w:spacing w:before="120" w:line="240" w:lineRule="exact"/>
                    <w:jc w:val="center"/>
                    <w:rPr>
                      <w:rFonts w:ascii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31.12</w:t>
                  </w:r>
                </w:p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2019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widowControl w:val="0"/>
                    <w:spacing w:before="120" w:line="240" w:lineRule="exact"/>
                    <w:jc w:val="center"/>
                    <w:rPr>
                      <w:rFonts w:ascii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31.12.</w:t>
                  </w:r>
                </w:p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2024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rPr>
                      <w:rFonts w:ascii="Times New Roman" w:eastAsia="Times New Roman" w:hAnsi="Times New Roman"/>
                      <w:sz w:val="26"/>
                    </w:rPr>
                  </w:pPr>
                </w:p>
              </w:tc>
              <w:tc>
                <w:tcPr>
                  <w:tcW w:w="5387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rPr>
                      <w:rFonts w:ascii="Times New Roman" w:eastAsia="Times New Roman" w:hAnsi="Times New Roman"/>
                      <w:sz w:val="26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rPr>
                      <w:rFonts w:ascii="Times New Roman" w:eastAsia="Times New Roman" w:hAnsi="Times New Roman"/>
                      <w:sz w:val="2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rPr>
                      <w:rFonts w:ascii="Times New Roman" w:eastAsia="Times New Roman" w:hAnsi="Times New Roman"/>
                      <w:sz w:val="2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rPr>
                      <w:rFonts w:ascii="Times New Roman" w:eastAsia="Times New Roman" w:hAnsi="Times New Roman"/>
                      <w:sz w:val="2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rPr>
                      <w:rFonts w:ascii="Times New Roman" w:eastAsia="Times New Roman" w:hAnsi="Times New Roman"/>
                      <w:sz w:val="26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rPr>
                      <w:rFonts w:ascii="Times New Roman" w:eastAsia="Times New Roman" w:hAnsi="Times New Roman"/>
                      <w:sz w:val="26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rPr>
                      <w:rFonts w:ascii="Times New Roman" w:eastAsia="Times New Roman" w:hAnsi="Times New Roman"/>
                      <w:sz w:val="26"/>
                    </w:rPr>
                  </w:pPr>
                </w:p>
              </w:tc>
              <w:tc>
                <w:tcPr>
                  <w:tcW w:w="1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85A83" w:rsidRDefault="00185A83">
                  <w:pPr>
                    <w:rPr>
                      <w:rFonts w:ascii="Times New Roman" w:eastAsia="Times New Roman" w:hAnsi="Times New Roman"/>
                      <w:sz w:val="26"/>
                    </w:rPr>
                  </w:pPr>
                </w:p>
              </w:tc>
            </w:tr>
          </w:tbl>
          <w:p w:rsidR="00185A83" w:rsidRDefault="00185A83">
            <w:pPr>
              <w:spacing w:line="20" w:lineRule="exact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tbl>
            <w:tblPr>
              <w:tblStyle w:val="11"/>
              <w:tblW w:w="15345" w:type="dxa"/>
              <w:tblLayout w:type="fixed"/>
              <w:tblLook w:val="04A0"/>
            </w:tblPr>
            <w:tblGrid>
              <w:gridCol w:w="644"/>
              <w:gridCol w:w="3604"/>
              <w:gridCol w:w="850"/>
              <w:gridCol w:w="993"/>
              <w:gridCol w:w="1417"/>
              <w:gridCol w:w="992"/>
              <w:gridCol w:w="993"/>
              <w:gridCol w:w="850"/>
              <w:gridCol w:w="851"/>
              <w:gridCol w:w="850"/>
              <w:gridCol w:w="851"/>
              <w:gridCol w:w="850"/>
              <w:gridCol w:w="1600"/>
            </w:tblGrid>
            <w:tr w:rsidR="00185A83">
              <w:trPr>
                <w:tblHeader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12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13</w:t>
                  </w:r>
                </w:p>
              </w:tc>
            </w:tr>
            <w:tr w:rsidR="00185A83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lastRenderedPageBreak/>
                    <w:t>1.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Увеличение общей площади жилых помещений, приходящихся  в среднем на одного жителя, кв.м./чел.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применим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20,31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23,36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26,64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30,14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33,83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37,82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37,82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Ввод нового жилья:</w:t>
                  </w:r>
                </w:p>
                <w:p w:rsidR="00185A83" w:rsidRDefault="00185A83">
                  <w:pPr>
                    <w:widowControl w:val="0"/>
                    <w:spacing w:before="120" w:line="24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2025-3000м2, 2026-3100м2, 2027-3200м2, 2028-3300м2,</w:t>
                  </w:r>
                  <w:r>
                    <w:rPr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2029-3400м2,</w:t>
                  </w:r>
                </w:p>
                <w:p w:rsidR="00185A83" w:rsidRDefault="00185A83">
                  <w:pPr>
                    <w:widowControl w:val="0"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2030-5000м2</w:t>
                  </w:r>
                </w:p>
                <w:p w:rsidR="00185A83" w:rsidRDefault="00185A83">
                  <w:pPr>
                    <w:widowControl w:val="0"/>
                    <w:spacing w:line="240" w:lineRule="exact"/>
                    <w:jc w:val="both"/>
                    <w:rPr>
                      <w:sz w:val="20"/>
                      <w:szCs w:val="20"/>
                    </w:rPr>
                  </w:pPr>
                </w:p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85A83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2.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Увеличение обновленного жилищного фонда с базового периода, кв.м.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2025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применим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9,64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10,55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11,52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12,55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13,63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14,76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14,76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2025 увеличение обновленного жилищного фонда на 3000 кв.м. </w:t>
                  </w:r>
                </w:p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2026-2030 годы сохранится динамика увеличения показателя</w:t>
                  </w:r>
                </w:p>
              </w:tc>
            </w:tr>
            <w:tr w:rsidR="00185A83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3.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/>
                      <w:bCs/>
                      <w:sz w:val="26"/>
                      <w:szCs w:val="20"/>
                    </w:rPr>
                  </w:pPr>
                  <w:r>
                    <w:rPr>
                      <w:bCs/>
                      <w:szCs w:val="20"/>
                    </w:rPr>
                    <w:t>Увеличение доли граждан, переселенных из непригодного для проживания жилищного фонда, чел.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не применим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 аварийного жилищного фонда</w:t>
                  </w:r>
                </w:p>
              </w:tc>
            </w:tr>
            <w:tr w:rsidR="00185A83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4.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bCs/>
                      <w:szCs w:val="20"/>
                    </w:rPr>
                    <w:t xml:space="preserve">Увеличение доли населения, для которого улучшится качество предоставляемых коммунальных услуг (в сфере </w:t>
                  </w:r>
                  <w:r>
                    <w:rPr>
                      <w:bCs/>
                      <w:spacing w:val="-6"/>
                      <w:szCs w:val="20"/>
                    </w:rPr>
                    <w:t>тепло-, водоснабжения и водоотведения)</w:t>
                  </w:r>
                  <w:proofErr w:type="gramStart"/>
                  <w:r>
                    <w:rPr>
                      <w:bCs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bCs/>
                      <w:szCs w:val="20"/>
                    </w:rPr>
                    <w:t xml:space="preserve"> чел.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2376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применим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0,19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0,39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0,58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0,78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0,97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1,94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1,94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2025 году увеличение доли населения на 7 человек.</w:t>
                  </w:r>
                </w:p>
              </w:tc>
            </w:tr>
            <w:tr w:rsidR="00185A83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5.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bCs/>
                      <w:spacing w:val="-6"/>
                      <w:szCs w:val="20"/>
                    </w:rPr>
                    <w:t>Увеличение доли домовладений, подклю</w:t>
                  </w:r>
                  <w:r>
                    <w:rPr>
                      <w:bCs/>
                      <w:szCs w:val="20"/>
                    </w:rPr>
                    <w:t xml:space="preserve">ченных к сетевому природному газу, в том числе в рамках программы социальной </w:t>
                  </w:r>
                  <w:r>
                    <w:rPr>
                      <w:bCs/>
                      <w:szCs w:val="20"/>
                    </w:rPr>
                    <w:lastRenderedPageBreak/>
                    <w:t xml:space="preserve">газификации, ед.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lastRenderedPageBreak/>
                    <w:t>177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442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применим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43,33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42,36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42,55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41,36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42,74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44,10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44,10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spacing w:line="220" w:lineRule="exact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2025 году к газу подключится 20 домовладений</w:t>
                  </w:r>
                </w:p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2026-2030 годы </w:t>
                  </w:r>
                  <w:r>
                    <w:rPr>
                      <w:sz w:val="20"/>
                      <w:szCs w:val="20"/>
                    </w:rPr>
                    <w:lastRenderedPageBreak/>
                    <w:t>сохранится динамика увеличения показателя</w:t>
                  </w:r>
                </w:p>
              </w:tc>
            </w:tr>
            <w:tr w:rsidR="00185A83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lastRenderedPageBreak/>
                    <w:t>6.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bCs/>
                      <w:szCs w:val="20"/>
                    </w:rPr>
                    <w:t>Увеличение доли домохозяйств, которым обеспечена возможность широкополосного доступа к информационно-</w:t>
                  </w:r>
                  <w:r>
                    <w:rPr>
                      <w:bCs/>
                      <w:spacing w:val="-6"/>
                      <w:szCs w:val="20"/>
                    </w:rPr>
                    <w:t>телекоммуникационной сети «Интернет», ед.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не применим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100% домовладений имеют возможность подключения к сети «Интернет»</w:t>
                  </w:r>
                </w:p>
              </w:tc>
            </w:tr>
            <w:tr w:rsidR="00185A83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7.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rPr>
                      <w:rFonts w:ascii="Times New Roman" w:eastAsia="Times New Roman" w:hAnsi="Times New Roman"/>
                      <w:bCs/>
                      <w:sz w:val="26"/>
                      <w:szCs w:val="20"/>
                    </w:rPr>
                  </w:pPr>
                  <w:r>
                    <w:rPr>
                      <w:bCs/>
                      <w:szCs w:val="20"/>
                    </w:rPr>
                    <w:t>Снижение доли несанкционированных свалок отходов, ед.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применим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 выявляемые свалки ликвидируются на 100%</w:t>
                  </w:r>
                </w:p>
              </w:tc>
            </w:tr>
            <w:tr w:rsidR="00185A83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8.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rPr>
                      <w:rFonts w:ascii="Times New Roman" w:eastAsia="Times New Roman" w:hAnsi="Times New Roman"/>
                      <w:bCs/>
                      <w:sz w:val="26"/>
                      <w:szCs w:val="20"/>
                    </w:rPr>
                  </w:pPr>
                  <w:r>
                    <w:rPr>
                      <w:bCs/>
                      <w:szCs w:val="20"/>
                    </w:rPr>
                    <w:t>Увеличение доли парка подвижного состава общественного транспорта, имеющего срок эксплуатации не старше нормативного, ед.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применим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28,57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28,57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28,57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57,14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57,14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Парк подвижного состава будет обновляться ежегодно</w:t>
                  </w:r>
                </w:p>
              </w:tc>
            </w:tr>
            <w:tr w:rsidR="00185A83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9.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 xml:space="preserve">Увеличение доли улично-дорожной сети в опорном населенном пункте, находящейся в нормативном состоянии, </w:t>
                  </w:r>
                  <w:proofErr w:type="gramStart"/>
                  <w:r>
                    <w:rPr>
                      <w:szCs w:val="20"/>
                    </w:rPr>
                    <w:t>км</w:t>
                  </w:r>
                  <w:proofErr w:type="gramEnd"/>
                  <w:r>
                    <w:rPr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не применим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Дороги находятся в нормативном состоянии</w:t>
                  </w:r>
                </w:p>
              </w:tc>
            </w:tr>
            <w:tr w:rsidR="00185A83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10.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rPr>
                      <w:rFonts w:ascii="Times New Roman" w:eastAsia="Times New Roman" w:hAnsi="Times New Roman"/>
                      <w:bCs/>
                      <w:sz w:val="26"/>
                      <w:szCs w:val="20"/>
                    </w:rPr>
                  </w:pPr>
                  <w:r>
                    <w:rPr>
                      <w:bCs/>
                      <w:szCs w:val="20"/>
                    </w:rPr>
                    <w:t xml:space="preserve">Увеличение доли общей площади мест приложения труда (нежилой </w:t>
                  </w:r>
                  <w:proofErr w:type="spellStart"/>
                  <w:proofErr w:type="gramStart"/>
                  <w:r>
                    <w:rPr>
                      <w:bCs/>
                      <w:szCs w:val="20"/>
                    </w:rPr>
                    <w:t>недвижи-мости</w:t>
                  </w:r>
                  <w:proofErr w:type="spellEnd"/>
                  <w:proofErr w:type="gramEnd"/>
                  <w:r>
                    <w:rPr>
                      <w:bCs/>
                      <w:szCs w:val="20"/>
                    </w:rPr>
                    <w:t>), обновленной с базового периода, кв.м.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16437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применим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0,37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0,42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0,47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0,52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0,58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0,63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0,63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2025 году введено 400 кв.м.          2026-2030 годы сохранится динамика увеличения показателя</w:t>
                  </w:r>
                </w:p>
              </w:tc>
            </w:tr>
            <w:tr w:rsidR="00185A83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11.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bCs/>
                      <w:szCs w:val="20"/>
                    </w:rPr>
                    <w:t xml:space="preserve">Увеличение доли объектов (дошкольного и общего) образования, находящихся в удовлетворительном состоянии (не требующих капитального ремонта), </w:t>
                  </w:r>
                  <w:r>
                    <w:rPr>
                      <w:bCs/>
                      <w:szCs w:val="20"/>
                    </w:rPr>
                    <w:lastRenderedPageBreak/>
                    <w:t xml:space="preserve">ед.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применим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25,0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25,0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2027 – капремонт здания МАДОУ «Детский сад № 6 «Колосок»</w:t>
                  </w:r>
                </w:p>
              </w:tc>
            </w:tr>
            <w:tr w:rsidR="00185A83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lastRenderedPageBreak/>
                    <w:t>12.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rPr>
                      <w:rFonts w:ascii="Times New Roman" w:eastAsia="Times New Roman" w:hAnsi="Times New Roman"/>
                      <w:bCs/>
                      <w:sz w:val="26"/>
                      <w:szCs w:val="20"/>
                    </w:rPr>
                  </w:pPr>
                  <w:r>
                    <w:rPr>
                      <w:bCs/>
                      <w:szCs w:val="20"/>
                    </w:rPr>
                    <w:t xml:space="preserve">Увеличение доли объектов первичной медико-санитарной помощи </w:t>
                  </w:r>
                  <w:proofErr w:type="spellStart"/>
                  <w:proofErr w:type="gramStart"/>
                  <w:r>
                    <w:rPr>
                      <w:bCs/>
                      <w:szCs w:val="20"/>
                    </w:rPr>
                    <w:t>государ-ственных</w:t>
                  </w:r>
                  <w:proofErr w:type="spellEnd"/>
                  <w:proofErr w:type="gramEnd"/>
                  <w:r>
                    <w:rPr>
                      <w:bCs/>
                      <w:szCs w:val="20"/>
                    </w:rPr>
                    <w:t xml:space="preserve"> медицинских организаций, находящихся в удовлетворительном состоянии (имеющих физический износ менее 60 % и не находящихся в аварийном состоянии)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 xml:space="preserve"> применим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ЦРБ отремонтирована</w:t>
                  </w:r>
                </w:p>
              </w:tc>
            </w:tr>
            <w:tr w:rsidR="00185A83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13.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rPr>
                      <w:rFonts w:ascii="Times New Roman" w:eastAsia="Times New Roman" w:hAnsi="Times New Roman"/>
                      <w:bCs/>
                      <w:sz w:val="26"/>
                      <w:szCs w:val="20"/>
                    </w:rPr>
                  </w:pPr>
                  <w:r>
                    <w:rPr>
                      <w:bCs/>
                      <w:szCs w:val="20"/>
                    </w:rPr>
                    <w:t>Увеличение единовременной пропускной способности спортивных сооруже</w:t>
                  </w:r>
                  <w:r>
                    <w:rPr>
                      <w:bCs/>
                      <w:spacing w:val="-6"/>
                      <w:szCs w:val="20"/>
                    </w:rPr>
                    <w:t>ний относительно нормативной пропуск</w:t>
                  </w:r>
                  <w:r>
                    <w:rPr>
                      <w:bCs/>
                      <w:szCs w:val="20"/>
                    </w:rPr>
                    <w:t>ной способности, чел.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826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-111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применим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-2,04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-2,04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-1,02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-0,77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-0,24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0,28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0,28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20" w:lineRule="exact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2025 году введен в эксплуатацию МАУ «</w:t>
                  </w:r>
                  <w:proofErr w:type="spellStart"/>
                  <w:r>
                    <w:rPr>
                      <w:sz w:val="20"/>
                      <w:szCs w:val="20"/>
                    </w:rPr>
                    <w:t>Шимский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спортивный центр»</w:t>
                  </w:r>
                </w:p>
              </w:tc>
            </w:tr>
            <w:tr w:rsidR="00185A83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14.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/>
                      <w:bCs/>
                      <w:sz w:val="26"/>
                      <w:szCs w:val="20"/>
                    </w:rPr>
                  </w:pPr>
                  <w:r>
                    <w:rPr>
                      <w:bCs/>
                      <w:szCs w:val="20"/>
                    </w:rPr>
                    <w:t xml:space="preserve">Увеличение доли объектов организаций </w:t>
                  </w:r>
                  <w:proofErr w:type="spellStart"/>
                  <w:r>
                    <w:rPr>
                      <w:bCs/>
                      <w:spacing w:val="-4"/>
                      <w:szCs w:val="20"/>
                    </w:rPr>
                    <w:t>культурно-досугового</w:t>
                  </w:r>
                  <w:proofErr w:type="spellEnd"/>
                  <w:r>
                    <w:rPr>
                      <w:bCs/>
                      <w:spacing w:val="-4"/>
                      <w:szCs w:val="20"/>
                    </w:rPr>
                    <w:t xml:space="preserve"> типа и библиотек</w:t>
                  </w:r>
                  <w:r>
                    <w:rPr>
                      <w:bCs/>
                      <w:szCs w:val="20"/>
                    </w:rPr>
                    <w:t>, находящихся в удовлетворительном состоянии, ед.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применим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2027 – участие в программе «Комплексное развитие сельских территорий»</w:t>
                  </w:r>
                </w:p>
              </w:tc>
            </w:tr>
            <w:tr w:rsidR="00185A83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15.</w:t>
                  </w: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/>
                      <w:bCs/>
                      <w:sz w:val="26"/>
                      <w:szCs w:val="20"/>
                    </w:rPr>
                  </w:pPr>
                  <w:r>
                    <w:rPr>
                      <w:bCs/>
                      <w:szCs w:val="20"/>
                    </w:rPr>
                    <w:t>Увеличение доли благоустроенных общественных территорий, ед.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применим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400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600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700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800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900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  <w:r>
                    <w:rPr>
                      <w:szCs w:val="20"/>
                    </w:rPr>
                    <w:t>900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2025-1, 2026-1, 2027-1, 2028-1, 2029-1, 2030-1</w:t>
                  </w:r>
                </w:p>
              </w:tc>
            </w:tr>
            <w:tr w:rsidR="00185A83"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3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t>ИТОГО темп прироста</w:t>
                  </w:r>
                  <w:proofErr w:type="gramStart"/>
                  <w:r>
                    <w:t xml:space="preserve"> (%)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/>
                    </w:rPr>
                  </w:pPr>
                  <w:r>
                    <w:t>60,45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/>
                    </w:rPr>
                  </w:pPr>
                  <w:r>
                    <w:t>69,05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/>
                    </w:rPr>
                  </w:pPr>
                  <w:r>
                    <w:t>86,19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/>
                    </w:rPr>
                  </w:pPr>
                  <w:r>
                    <w:t>97,23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/>
                    </w:rPr>
                  </w:pPr>
                  <w:r>
                    <w:t>106,14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/>
                    </w:rPr>
                  </w:pPr>
                  <w:r>
                    <w:t>118,71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rPr>
                      <w:rFonts w:ascii="Times New Roman" w:eastAsia="Times New Roman" w:hAnsi="Times New Roman"/>
                    </w:rPr>
                  </w:pPr>
                  <w:r>
                    <w:t>118,71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A83" w:rsidRDefault="00185A83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before="120" w:line="24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0"/>
                    </w:rPr>
                  </w:pPr>
                </w:p>
              </w:tc>
            </w:tr>
          </w:tbl>
          <w:p w:rsidR="00185A83" w:rsidRDefault="00185A83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</w:t>
            </w:r>
          </w:p>
          <w:p w:rsidR="00185A83" w:rsidRDefault="00185A83">
            <w:pPr>
              <w:rPr>
                <w:sz w:val="26"/>
                <w:szCs w:val="20"/>
                <w:lang w:eastAsia="ru-RU"/>
              </w:rPr>
            </w:pPr>
          </w:p>
          <w:p w:rsidR="00185A83" w:rsidRDefault="00185A83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ab/>
            </w:r>
          </w:p>
        </w:tc>
      </w:tr>
      <w:tr w:rsidR="00185A83" w:rsidTr="00185A83">
        <w:trPr>
          <w:trHeight w:val="63"/>
        </w:trPr>
        <w:tc>
          <w:tcPr>
            <w:tcW w:w="15571" w:type="dxa"/>
          </w:tcPr>
          <w:p w:rsidR="00185A83" w:rsidRDefault="00185A83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85A83" w:rsidRPr="006C6326" w:rsidRDefault="00185A83" w:rsidP="0062655F">
      <w:pPr>
        <w:rPr>
          <w:rFonts w:ascii="Times New Roman" w:hAnsi="Times New Roman" w:cs="Times New Roman"/>
          <w:sz w:val="24"/>
          <w:szCs w:val="24"/>
        </w:rPr>
      </w:pPr>
    </w:p>
    <w:sectPr w:rsidR="00185A83" w:rsidRPr="006C6326" w:rsidSect="00185A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55F"/>
    <w:rsid w:val="00185A83"/>
    <w:rsid w:val="00587B24"/>
    <w:rsid w:val="0062655F"/>
    <w:rsid w:val="006C6326"/>
    <w:rsid w:val="006D694D"/>
    <w:rsid w:val="007D6C52"/>
    <w:rsid w:val="007D7F9D"/>
    <w:rsid w:val="00A507F1"/>
    <w:rsid w:val="00AD5FD7"/>
    <w:rsid w:val="00BA0332"/>
    <w:rsid w:val="00CB0FE8"/>
    <w:rsid w:val="00F2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F1"/>
  </w:style>
  <w:style w:type="paragraph" w:styleId="1">
    <w:name w:val="heading 1"/>
    <w:basedOn w:val="a"/>
    <w:link w:val="10"/>
    <w:uiPriority w:val="9"/>
    <w:qFormat/>
    <w:rsid w:val="00626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55F"/>
    <w:rPr>
      <w:color w:val="0000FF"/>
      <w:u w:val="single"/>
    </w:rPr>
  </w:style>
  <w:style w:type="character" w:styleId="a5">
    <w:name w:val="Strong"/>
    <w:basedOn w:val="a0"/>
    <w:uiPriority w:val="22"/>
    <w:qFormat/>
    <w:rsid w:val="0062655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26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62655F"/>
    <w:rPr>
      <w:color w:val="800080" w:themeColor="followedHyperlink"/>
      <w:u w:val="single"/>
    </w:rPr>
  </w:style>
  <w:style w:type="table" w:customStyle="1" w:styleId="11">
    <w:name w:val="Сетка таблицы1"/>
    <w:basedOn w:val="a1"/>
    <w:uiPriority w:val="39"/>
    <w:rsid w:val="00185A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stovskij-r49.gosweb.gosuslugi.ru/netcat_files/userfiles/Otdely/Blagoustroystvo/2025/proekta_Programm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2025-02-20T05:57:00Z</dcterms:created>
  <dcterms:modified xsi:type="dcterms:W3CDTF">2025-02-27T06:50:00Z</dcterms:modified>
</cp:coreProperties>
</file>